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hint="eastAsia" w:ascii="仿宋" w:hAnsi="仿宋" w:eastAsia="仿宋" w:cs="黑体"/>
          <w:color w:val="000000"/>
          <w:sz w:val="32"/>
          <w:szCs w:val="32"/>
        </w:rPr>
      </w:pPr>
    </w:p>
    <w:p>
      <w:pPr>
        <w:spacing w:line="240" w:lineRule="atLeast"/>
        <w:jc w:val="center"/>
        <w:rPr>
          <w:rFonts w:hint="eastAsia" w:ascii="仿宋" w:hAnsi="仿宋" w:eastAsia="仿宋" w:cs="黑体"/>
          <w:color w:val="000000"/>
          <w:sz w:val="32"/>
          <w:szCs w:val="32"/>
        </w:rPr>
      </w:pPr>
    </w:p>
    <w:p>
      <w:pPr>
        <w:spacing w:line="240" w:lineRule="atLeast"/>
        <w:jc w:val="center"/>
        <w:rPr>
          <w:rFonts w:hint="eastAsia" w:ascii="仿宋" w:hAnsi="仿宋" w:eastAsia="仿宋" w:cs="黑体"/>
          <w:color w:val="000000"/>
          <w:sz w:val="32"/>
          <w:szCs w:val="32"/>
        </w:rPr>
      </w:pPr>
    </w:p>
    <w:p>
      <w:pPr>
        <w:spacing w:line="240" w:lineRule="atLeast"/>
        <w:jc w:val="center"/>
        <w:rPr>
          <w:rFonts w:hint="eastAsia" w:ascii="仿宋" w:hAnsi="仿宋" w:eastAsia="仿宋" w:cs="黑体"/>
          <w:color w:val="000000"/>
          <w:sz w:val="32"/>
          <w:szCs w:val="32"/>
        </w:rPr>
      </w:pPr>
    </w:p>
    <w:p>
      <w:pPr>
        <w:spacing w:line="240" w:lineRule="atLeast"/>
        <w:jc w:val="center"/>
        <w:rPr>
          <w:rFonts w:hint="eastAsia" w:ascii="仿宋" w:hAnsi="仿宋" w:eastAsia="仿宋" w:cs="黑体"/>
          <w:color w:val="000000"/>
          <w:sz w:val="32"/>
          <w:szCs w:val="32"/>
        </w:rPr>
      </w:pPr>
    </w:p>
    <w:p>
      <w:pPr>
        <w:spacing w:line="240" w:lineRule="atLeast"/>
        <w:jc w:val="center"/>
        <w:rPr>
          <w:rFonts w:hint="eastAsia" w:ascii="仿宋" w:hAnsi="仿宋" w:eastAsia="仿宋"/>
          <w:color w:val="000000"/>
          <w:sz w:val="32"/>
          <w:szCs w:val="32"/>
        </w:rPr>
      </w:pPr>
      <w:r>
        <w:rPr>
          <w:rFonts w:hint="eastAsia" w:ascii="仿宋" w:hAnsi="仿宋" w:eastAsia="仿宋" w:cs="黑体"/>
          <w:color w:val="000000"/>
          <w:sz w:val="32"/>
          <w:szCs w:val="32"/>
        </w:rPr>
        <w:t>沪民航院〔2019〕</w:t>
      </w:r>
      <w:r>
        <w:rPr>
          <w:rFonts w:ascii="仿宋" w:hAnsi="仿宋" w:eastAsia="仿宋" w:cs="黑体"/>
          <w:color w:val="000000"/>
          <w:sz w:val="32"/>
          <w:szCs w:val="32"/>
        </w:rPr>
        <w:t>79</w:t>
      </w:r>
      <w:r>
        <w:rPr>
          <w:rFonts w:hint="eastAsia" w:ascii="仿宋" w:hAnsi="仿宋" w:eastAsia="仿宋" w:cs="黑体"/>
          <w:color w:val="000000"/>
          <w:sz w:val="32"/>
          <w:szCs w:val="32"/>
        </w:rPr>
        <w:t>号</w:t>
      </w:r>
    </w:p>
    <w:p>
      <w:pPr>
        <w:spacing w:line="0" w:lineRule="atLeast"/>
        <w:rPr>
          <w:rFonts w:ascii="方正小标宋简体" w:hAnsi="方正小标宋简体" w:eastAsia="方正小标宋简体" w:cs="方正小标宋简体"/>
          <w:bCs/>
          <w:color w:val="FF0000"/>
          <w:spacing w:val="20"/>
          <w:w w:val="85"/>
          <w:kern w:val="0"/>
        </w:rPr>
      </w:pPr>
    </w:p>
    <w:p>
      <w:pPr>
        <w:spacing w:line="0" w:lineRule="atLeast"/>
        <w:rPr>
          <w:rFonts w:hint="eastAsia" w:ascii="方正小标宋简体" w:hAnsi="方正小标宋简体" w:eastAsia="方正小标宋简体" w:cs="方正小标宋简体"/>
          <w:bCs/>
          <w:color w:val="FF0000"/>
          <w:spacing w:val="20"/>
          <w:w w:val="85"/>
          <w:kern w:val="0"/>
        </w:rPr>
      </w:pPr>
    </w:p>
    <w:p>
      <w:pPr>
        <w:spacing w:line="560" w:lineRule="exact"/>
        <w:jc w:val="center"/>
        <w:rPr>
          <w:rFonts w:ascii="方正小标宋简体" w:hAnsi="宋体" w:eastAsia="方正小标宋简体" w:cs="宋体"/>
          <w:sz w:val="44"/>
          <w:szCs w:val="44"/>
        </w:rPr>
      </w:pPr>
      <w:bookmarkStart w:id="0" w:name="发文字号"/>
      <w:bookmarkEnd w:id="0"/>
      <w:r>
        <w:rPr>
          <w:rFonts w:hint="eastAsia" w:ascii="方正小标宋简体" w:hAnsi="宋体" w:eastAsia="方正小标宋简体" w:cs="宋体"/>
          <w:sz w:val="44"/>
          <w:szCs w:val="44"/>
        </w:rPr>
        <w:t>关于印发《上海民航职业技术学院</w:t>
      </w:r>
    </w:p>
    <w:p>
      <w:pPr>
        <w:spacing w:line="5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公务卡管理暂行办法》的通知</w:t>
      </w:r>
    </w:p>
    <w:p>
      <w:pPr>
        <w:spacing w:line="560" w:lineRule="exact"/>
        <w:jc w:val="center"/>
        <w:rPr>
          <w:rFonts w:hint="eastAsia" w:ascii="方正小标宋简体" w:hAnsi="方正小标宋简体" w:eastAsia="方正小标宋简体" w:cs="方正小标宋简体"/>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各部门：</w:t>
      </w:r>
    </w:p>
    <w:p>
      <w:pPr>
        <w:spacing w:line="560" w:lineRule="exact"/>
        <w:ind w:firstLine="640" w:firstLineChars="200"/>
        <w:rPr>
          <w:rFonts w:hint="eastAsia" w:ascii="仿宋" w:hAnsi="仿宋" w:eastAsia="仿宋"/>
          <w:color w:val="000000"/>
          <w:sz w:val="32"/>
          <w:szCs w:val="32"/>
          <w:lang w:val="en-US" w:eastAsia="zh-CN"/>
        </w:rPr>
      </w:pPr>
      <w:r>
        <w:rPr>
          <w:rFonts w:hint="eastAsia" w:ascii="仿宋" w:hAnsi="仿宋" w:eastAsia="仿宋"/>
          <w:color w:val="000000"/>
          <w:sz w:val="32"/>
          <w:szCs w:val="32"/>
          <w:lang w:val="en-US" w:eastAsia="zh-CN"/>
        </w:rPr>
        <w:t>现将《上海民航职业技术学院公务卡管理暂行办法》印发给你们，请认真贯彻执行。</w:t>
      </w:r>
    </w:p>
    <w:p>
      <w:pPr>
        <w:spacing w:line="520" w:lineRule="exact"/>
        <w:ind w:firstLine="640" w:firstLineChars="200"/>
        <w:rPr>
          <w:rFonts w:ascii="仿宋" w:hAnsi="仿宋" w:eastAsia="仿宋" w:cs="黑体"/>
          <w:sz w:val="32"/>
          <w:szCs w:val="32"/>
        </w:rPr>
      </w:pPr>
      <w:r>
        <w:rPr>
          <w:rFonts w:hint="eastAsia" w:ascii="黑体" w:hAnsi="黑体" w:eastAsia="黑体" w:cs="黑体"/>
          <w:sz w:val="32"/>
          <w:szCs w:val="32"/>
        </w:rPr>
        <w:t>附件：</w:t>
      </w:r>
      <w:r>
        <w:rPr>
          <w:rFonts w:hint="eastAsia" w:ascii="仿宋" w:hAnsi="仿宋" w:eastAsia="仿宋" w:cs="黑体"/>
          <w:sz w:val="32"/>
          <w:szCs w:val="32"/>
        </w:rPr>
        <w:t>上海民航职业技术学院公务卡管理暂行办法</w:t>
      </w:r>
    </w:p>
    <w:p>
      <w:pPr>
        <w:spacing w:line="52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 xml:space="preserve">     </w:t>
      </w:r>
    </w:p>
    <w:p>
      <w:pPr>
        <w:spacing w:line="520" w:lineRule="exact"/>
        <w:ind w:firstLine="420" w:firstLineChars="200"/>
        <w:rPr>
          <w:rFonts w:hint="eastAsia" w:ascii="仿宋" w:hAnsi="仿宋" w:eastAsia="仿宋" w:cs="黑体"/>
        </w:rPr>
      </w:pPr>
    </w:p>
    <w:p>
      <w:pPr>
        <w:spacing w:line="520" w:lineRule="exact"/>
        <w:ind w:firstLine="420" w:firstLineChars="200"/>
        <w:rPr>
          <w:rFonts w:hint="eastAsia" w:ascii="仿宋" w:hAnsi="仿宋" w:eastAsia="仿宋" w:cs="黑体"/>
        </w:rPr>
      </w:pPr>
    </w:p>
    <w:p>
      <w:pPr>
        <w:spacing w:line="520" w:lineRule="exact"/>
        <w:ind w:firstLine="420" w:firstLineChars="200"/>
        <w:rPr>
          <w:rFonts w:hint="eastAsia" w:ascii="仿宋" w:hAnsi="仿宋" w:eastAsia="仿宋" w:cs="黑体"/>
        </w:rPr>
      </w:pPr>
    </w:p>
    <w:p>
      <w:pPr>
        <w:adjustRightInd w:val="0"/>
        <w:snapToGrid w:val="0"/>
        <w:spacing w:line="560" w:lineRule="exact"/>
        <w:jc w:val="center"/>
        <w:rPr>
          <w:rFonts w:ascii="仿宋" w:hAnsi="仿宋" w:eastAsia="仿宋" w:cs="仿宋"/>
          <w:sz w:val="32"/>
          <w:szCs w:val="32"/>
        </w:rPr>
      </w:pPr>
      <w:r>
        <w:rPr>
          <w:rFonts w:hint="eastAsia" w:ascii="仿宋" w:hAnsi="仿宋" w:eastAsia="仿宋" w:cs="仿宋"/>
        </w:rPr>
        <w:t xml:space="preserve">            </w:t>
      </w:r>
      <w:r>
        <w:rPr>
          <w:rFonts w:ascii="仿宋" w:hAnsi="仿宋" w:eastAsia="仿宋" w:cs="仿宋"/>
          <w:sz w:val="32"/>
          <w:szCs w:val="32"/>
        </w:rPr>
        <w:t xml:space="preserve">  </w:t>
      </w:r>
      <w:r>
        <w:rPr>
          <w:rFonts w:hint="eastAsia" w:ascii="仿宋" w:hAnsi="仿宋" w:eastAsia="仿宋" w:cs="仿宋"/>
          <w:sz w:val="32"/>
          <w:szCs w:val="32"/>
        </w:rPr>
        <w:t xml:space="preserve">  上海民航职业技术学院</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                     2019年7月3日</w:t>
      </w:r>
    </w:p>
    <w:p>
      <w:pPr>
        <w:spacing w:line="520" w:lineRule="exact"/>
        <w:ind w:firstLine="640" w:firstLineChars="200"/>
        <w:rPr>
          <w:rFonts w:ascii="仿宋" w:hAnsi="仿宋" w:eastAsia="仿宋" w:cs="仿宋"/>
          <w:sz w:val="32"/>
          <w:szCs w:val="32"/>
        </w:rPr>
      </w:pPr>
    </w:p>
    <w:p>
      <w:pPr>
        <w:spacing w:line="520" w:lineRule="exact"/>
        <w:ind w:firstLine="420" w:firstLineChars="200"/>
        <w:rPr>
          <w:rFonts w:ascii="仿宋" w:hAnsi="仿宋" w:eastAsia="仿宋" w:cs="仿宋"/>
        </w:rPr>
      </w:pPr>
    </w:p>
    <w:p>
      <w:pPr>
        <w:spacing w:line="520" w:lineRule="exact"/>
        <w:ind w:firstLine="420" w:firstLineChars="200"/>
        <w:rPr>
          <w:rFonts w:ascii="仿宋" w:hAnsi="仿宋" w:eastAsia="仿宋" w:cs="仿宋"/>
        </w:rPr>
      </w:pPr>
    </w:p>
    <w:p>
      <w:pPr>
        <w:spacing w:line="520" w:lineRule="exact"/>
        <w:ind w:firstLine="420" w:firstLineChars="200"/>
        <w:rPr>
          <w:rFonts w:ascii="仿宋" w:hAnsi="仿宋" w:eastAsia="仿宋" w:cs="仿宋"/>
        </w:rPr>
      </w:pPr>
    </w:p>
    <w:p>
      <w:pPr>
        <w:spacing w:line="560" w:lineRule="exact"/>
        <w:rPr>
          <w:rFonts w:ascii="黑体" w:hAnsi="黑体" w:eastAsia="黑体" w:cs="黑体"/>
          <w:sz w:val="32"/>
          <w:szCs w:val="32"/>
        </w:rPr>
      </w:pPr>
      <w:r>
        <w:rPr>
          <w:rFonts w:hint="eastAsia" w:ascii="黑体" w:hAnsi="黑体" w:eastAsia="黑体" w:cs="黑体"/>
          <w:sz w:val="32"/>
          <w:szCs w:val="32"/>
        </w:rPr>
        <w:t>附件</w:t>
      </w:r>
    </w:p>
    <w:p>
      <w:pPr>
        <w:spacing w:line="56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上海民航职业技术学院公务卡</w:t>
      </w:r>
    </w:p>
    <w:p>
      <w:pPr>
        <w:spacing w:line="560" w:lineRule="exact"/>
        <w:jc w:val="center"/>
        <w:rPr>
          <w:rFonts w:ascii="方正小标宋简体" w:hAnsi="宋体" w:eastAsia="方正小标宋简体" w:cs="宋体"/>
          <w:sz w:val="44"/>
          <w:szCs w:val="44"/>
        </w:rPr>
      </w:pPr>
      <w:r>
        <w:rPr>
          <w:rFonts w:hint="eastAsia" w:ascii="方正小标宋简体" w:hAnsi="宋体" w:eastAsia="方正小标宋简体" w:cs="宋体"/>
          <w:sz w:val="44"/>
          <w:szCs w:val="44"/>
        </w:rPr>
        <w:t>管理暂行办法</w:t>
      </w:r>
    </w:p>
    <w:p>
      <w:pPr>
        <w:spacing w:line="560" w:lineRule="exact"/>
        <w:jc w:val="center"/>
        <w:rPr>
          <w:rFonts w:ascii="黑体" w:hAnsi="黑体" w:eastAsia="黑体" w:cs="黑体"/>
        </w:rPr>
      </w:pPr>
    </w:p>
    <w:p>
      <w:pPr>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 总则</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第一条</w:t>
      </w:r>
      <w:r>
        <w:rPr>
          <w:rFonts w:ascii="仿宋" w:hAnsi="仿宋" w:eastAsia="仿宋" w:cs="黑体"/>
          <w:sz w:val="32"/>
          <w:szCs w:val="32"/>
        </w:rPr>
        <w:t xml:space="preserve">  </w:t>
      </w:r>
      <w:r>
        <w:rPr>
          <w:rFonts w:hint="eastAsia" w:ascii="仿宋" w:hAnsi="仿宋" w:eastAsia="仿宋" w:cs="黑体"/>
          <w:sz w:val="32"/>
          <w:szCs w:val="32"/>
        </w:rPr>
        <w:t>为加强学院公务成本控制管理，减少现金支付结算和现金流量</w:t>
      </w:r>
      <w:r>
        <w:rPr>
          <w:rFonts w:ascii="仿宋" w:hAnsi="仿宋" w:eastAsia="仿宋" w:cs="黑体"/>
          <w:sz w:val="32"/>
          <w:szCs w:val="32"/>
        </w:rPr>
        <w:t>，</w:t>
      </w:r>
      <w:r>
        <w:rPr>
          <w:rFonts w:hint="eastAsia" w:ascii="仿宋" w:hAnsi="仿宋" w:eastAsia="仿宋" w:cs="黑体"/>
          <w:sz w:val="32"/>
          <w:szCs w:val="32"/>
        </w:rPr>
        <w:t>规范经费支出结算行为，进一步提高财务管理水平，根据《财政部</w:t>
      </w:r>
      <w:r>
        <w:rPr>
          <w:rFonts w:ascii="仿宋" w:hAnsi="仿宋" w:eastAsia="仿宋" w:cs="黑体"/>
          <w:sz w:val="32"/>
          <w:szCs w:val="32"/>
        </w:rPr>
        <w:t xml:space="preserve"> </w:t>
      </w:r>
      <w:r>
        <w:rPr>
          <w:rFonts w:hint="eastAsia" w:ascii="仿宋" w:hAnsi="仿宋" w:eastAsia="仿宋" w:cs="黑体"/>
          <w:sz w:val="32"/>
          <w:szCs w:val="32"/>
        </w:rPr>
        <w:t>中国人民银行关于印发〈中央预算单位公务卡管理暂行办法〉的通知》（财库〔2007〕63号）、《关于印发&lt;公务卡强制结算目录&gt;》（民航财发〔</w:t>
      </w:r>
      <w:r>
        <w:rPr>
          <w:rFonts w:ascii="仿宋" w:hAnsi="仿宋" w:eastAsia="仿宋" w:cs="黑体"/>
          <w:sz w:val="32"/>
          <w:szCs w:val="32"/>
        </w:rPr>
        <w:t>20</w:t>
      </w:r>
      <w:r>
        <w:rPr>
          <w:rFonts w:hint="eastAsia" w:ascii="仿宋" w:hAnsi="仿宋" w:eastAsia="仿宋" w:cs="黑体"/>
          <w:sz w:val="32"/>
          <w:szCs w:val="32"/>
        </w:rPr>
        <w:t>11〕38号）、《关于加快推进公务卡制度改革的通知》（财库〔2012〕132号）、《关于中央财政科研项目使用公务卡结算有关事项的通知》（财库〔2015〕245号）、《民航局转发财政部关于进一步完善中央财政科技和教育资金预算执行管理有关事项的通知》（民航财发〔2019〕16号）等文件规定，结合学院实际情况，特制定本办法。</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第二条</w:t>
      </w:r>
      <w:r>
        <w:rPr>
          <w:rFonts w:ascii="仿宋" w:hAnsi="仿宋" w:eastAsia="仿宋" w:cs="黑体"/>
          <w:sz w:val="32"/>
          <w:szCs w:val="32"/>
        </w:rPr>
        <w:t xml:space="preserve">  </w:t>
      </w:r>
      <w:r>
        <w:rPr>
          <w:rFonts w:hint="eastAsia" w:ascii="仿宋" w:hAnsi="仿宋" w:eastAsia="仿宋" w:cs="黑体"/>
          <w:sz w:val="32"/>
          <w:szCs w:val="32"/>
        </w:rPr>
        <w:t>公务卡的性质和办理范围</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（一）本办法所称公务卡是指学院在职在岗工作人员持有的且主要用于日常公务支出和财务报销业务的信用卡。</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（二）公务卡结算是学院教职工在公务活动中使用公务卡刷卡消费，在规定的期限内按现行财务制度审核后报销还款的方式。</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（三）公务卡办理的范围为学院在职在岗的正式教职工。</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（四）对于参与科研项目1年以上，并负责科研经费支出报销业务的项目外聘人员，由外聘人员与项目负责人共同申请，经教务（科研）处和计划财务处批准后，可以办理公务卡。</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第三条</w:t>
      </w:r>
      <w:r>
        <w:rPr>
          <w:rFonts w:ascii="仿宋" w:hAnsi="仿宋" w:eastAsia="仿宋" w:cs="黑体"/>
          <w:sz w:val="32"/>
          <w:szCs w:val="32"/>
        </w:rPr>
        <w:t xml:space="preserve">  </w:t>
      </w:r>
      <w:r>
        <w:rPr>
          <w:rFonts w:hint="eastAsia" w:ascii="仿宋" w:hAnsi="仿宋" w:eastAsia="仿宋" w:cs="黑体"/>
          <w:sz w:val="32"/>
          <w:szCs w:val="32"/>
        </w:rPr>
        <w:t>原使用现金结算的公务支出，包括办公费、差旅费、会议费、培训费等，应当使用公务卡结算（具体项目详见《关于印发&lt;公务卡强制结算目录&gt;的通知》）。原通过银行结算方式（支票、汇款、转账等）支付的继续沿用。</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第四条 下列情况可暂不使用公务卡结算：在县级以下（不包括县级）地区发生的公务支出；在县级及县级以上地区不具备刷卡条件的场所发生的单笔消费在200元以下的公务支出；按规定支付给个人的支出；签证费、快递费、过桥过路费、出租车费用等目前只能使用现金结算的支出。</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二、</w:t>
      </w:r>
      <w:r>
        <w:rPr>
          <w:rFonts w:ascii="黑体" w:hAnsi="黑体" w:eastAsia="黑体" w:cs="黑体"/>
          <w:sz w:val="32"/>
          <w:szCs w:val="32"/>
        </w:rPr>
        <w:t xml:space="preserve"> </w:t>
      </w:r>
      <w:r>
        <w:rPr>
          <w:rFonts w:hint="eastAsia" w:ascii="黑体" w:hAnsi="黑体" w:eastAsia="黑体" w:cs="黑体"/>
          <w:sz w:val="32"/>
          <w:szCs w:val="32"/>
        </w:rPr>
        <w:t>公务卡日常管理</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第五条</w:t>
      </w:r>
      <w:r>
        <w:rPr>
          <w:rFonts w:ascii="仿宋" w:hAnsi="仿宋" w:eastAsia="仿宋" w:cs="黑体"/>
          <w:sz w:val="32"/>
          <w:szCs w:val="32"/>
        </w:rPr>
        <w:t xml:space="preserve">  </w:t>
      </w:r>
      <w:r>
        <w:rPr>
          <w:rFonts w:hint="eastAsia" w:ascii="仿宋" w:hAnsi="仿宋" w:eastAsia="仿宋" w:cs="黑体"/>
          <w:sz w:val="32"/>
          <w:szCs w:val="32"/>
        </w:rPr>
        <w:t>公务卡开立的基本程序</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（一）以部门为单位，如实填写“公务卡申请表”等资料，连同身份证复印件等资料一起交学院计划财务处。</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（二）计划财务处对申请开卡教职工的相关资料进行确认并集中送发卡行；发卡行按规定程序审核职工申请资料并办理公务卡。</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（三）发卡行将公务卡和必要的相关资料发给教职工。</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第六条</w:t>
      </w:r>
      <w:r>
        <w:rPr>
          <w:rFonts w:ascii="仿宋" w:hAnsi="仿宋" w:eastAsia="仿宋" w:cs="黑体"/>
          <w:sz w:val="32"/>
          <w:szCs w:val="32"/>
        </w:rPr>
        <w:t xml:space="preserve">  </w:t>
      </w:r>
      <w:r>
        <w:rPr>
          <w:rFonts w:hint="eastAsia" w:ascii="仿宋" w:hAnsi="仿宋" w:eastAsia="仿宋" w:cs="黑体"/>
          <w:sz w:val="32"/>
          <w:szCs w:val="32"/>
        </w:rPr>
        <w:t>如出现人员新增、调动或者离退休，人事处应及时通知计划财务处办理公务卡的申领或停止使用等手续。持卡人因调离、离退休等原因离开学院，须按要求及时还清债务，结清余额并注销公务卡。</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第七条</w:t>
      </w:r>
      <w:r>
        <w:rPr>
          <w:rFonts w:ascii="仿宋" w:hAnsi="仿宋" w:eastAsia="仿宋" w:cs="黑体"/>
          <w:sz w:val="32"/>
          <w:szCs w:val="32"/>
        </w:rPr>
        <w:t xml:space="preserve">  </w:t>
      </w:r>
      <w:r>
        <w:rPr>
          <w:rFonts w:hint="eastAsia" w:ascii="仿宋" w:hAnsi="仿宋" w:eastAsia="仿宋" w:cs="黑体"/>
          <w:sz w:val="32"/>
          <w:szCs w:val="32"/>
        </w:rPr>
        <w:t>公务卡的卡片和密码均由个人负责保管。公务卡遗失或损毁后的补办等事项由个人自行到发卡行申请办理，并及时通知计划财务处。</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第八条  公务卡的信用额度，由发卡银行根据个人资信情况，结合持卡人职务、职称、工作需求等设定。持卡人在规定的信用额度和免息还款期（发生公务支出次月25日前）内先支付，后还款。</w:t>
      </w:r>
      <w:r>
        <w:rPr>
          <w:rFonts w:ascii="仿宋" w:hAnsi="仿宋" w:eastAsia="仿宋" w:cs="黑体"/>
          <w:sz w:val="32"/>
          <w:szCs w:val="32"/>
        </w:rPr>
        <w:t xml:space="preserve"> </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第九条  公务卡免费开卡、免收年费，卡片挂失、补办、更换新卡免收手续费，公务卡内的存款在上海市内的工商银行取现金免收手续费，发卡行免费为持卡人发送余额变动短信。</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三、公务卡支付管理</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第十条</w:t>
      </w:r>
      <w:r>
        <w:rPr>
          <w:rFonts w:ascii="仿宋" w:hAnsi="仿宋" w:eastAsia="仿宋" w:cs="黑体"/>
          <w:sz w:val="32"/>
          <w:szCs w:val="32"/>
        </w:rPr>
        <w:t xml:space="preserve"> </w:t>
      </w:r>
      <w:r>
        <w:rPr>
          <w:rFonts w:hint="eastAsia" w:ascii="仿宋" w:hAnsi="仿宋" w:eastAsia="仿宋" w:cs="黑体"/>
          <w:sz w:val="32"/>
          <w:szCs w:val="32"/>
        </w:rPr>
        <w:t>对于差旅、会议、小额购买等公务支出，使用公务卡结算的，应在公务卡信用额度内，先通过公务卡结算，并须取得发票等财务报销凭证和有关银行卡消费凭证（</w:t>
      </w:r>
      <w:r>
        <w:rPr>
          <w:rFonts w:ascii="仿宋" w:hAnsi="仿宋" w:eastAsia="仿宋" w:cs="黑体"/>
          <w:sz w:val="32"/>
          <w:szCs w:val="32"/>
        </w:rPr>
        <w:t>POS</w:t>
      </w:r>
      <w:r>
        <w:rPr>
          <w:rFonts w:hint="eastAsia" w:ascii="仿宋" w:hAnsi="仿宋" w:eastAsia="仿宋" w:cs="黑体"/>
          <w:sz w:val="32"/>
          <w:szCs w:val="32"/>
        </w:rPr>
        <w:t>机小票）。</w:t>
      </w:r>
      <w:r>
        <w:rPr>
          <w:rFonts w:ascii="仿宋" w:hAnsi="仿宋" w:eastAsia="仿宋" w:cs="黑体"/>
          <w:sz w:val="32"/>
          <w:szCs w:val="32"/>
        </w:rPr>
        <w:t xml:space="preserve"> </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第十一条 持卡人在执行公务中不允许通过公务卡透支提取现金，原则上不允许用于个人消费。</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四、公务卡财务报销管理</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第十二条</w:t>
      </w:r>
      <w:r>
        <w:rPr>
          <w:rFonts w:ascii="仿宋" w:hAnsi="仿宋" w:eastAsia="仿宋" w:cs="黑体"/>
          <w:sz w:val="32"/>
          <w:szCs w:val="32"/>
        </w:rPr>
        <w:t xml:space="preserve">  </w:t>
      </w:r>
      <w:r>
        <w:rPr>
          <w:rFonts w:hint="eastAsia" w:ascii="仿宋" w:hAnsi="仿宋" w:eastAsia="仿宋" w:cs="黑体"/>
          <w:sz w:val="32"/>
          <w:szCs w:val="32"/>
        </w:rPr>
        <w:t>公务卡财务报销的程序</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（一）使用公务卡结算，不改变学院目前财务管理制度和报销审批程序。</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（二）持卡人使用公务卡消费结算的各项公务支出，必须在学院规定的日期内，到计划财务处报销。因个人报销不及时造成的罚息、滞纳金等相关费用，由持卡人承担。</w:t>
      </w:r>
      <w:r>
        <w:rPr>
          <w:rFonts w:ascii="仿宋" w:hAnsi="仿宋" w:eastAsia="仿宋" w:cs="黑体"/>
          <w:sz w:val="32"/>
          <w:szCs w:val="32"/>
        </w:rPr>
        <w:t xml:space="preserve"> </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（三）报销人携带发票等财务报销凭证与公务卡消费凭证（</w:t>
      </w:r>
      <w:r>
        <w:rPr>
          <w:rFonts w:ascii="仿宋" w:hAnsi="仿宋" w:eastAsia="仿宋" w:cs="黑体"/>
          <w:sz w:val="32"/>
          <w:szCs w:val="32"/>
        </w:rPr>
        <w:t>POS</w:t>
      </w:r>
      <w:r>
        <w:rPr>
          <w:rFonts w:hint="eastAsia" w:ascii="仿宋" w:hAnsi="仿宋" w:eastAsia="仿宋" w:cs="黑体"/>
          <w:sz w:val="32"/>
          <w:szCs w:val="32"/>
        </w:rPr>
        <w:t>机小票），按财务报销程序进行报销。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确因工作需要，持卡人不能在规定的免息还款期内返回学院办理报销手续的，持卡人本人（或委托他人）可在免息还款期内将公务支出金额的资金存入公务卡中；也可由持卡人或其所在部门相关人员在免息还款期到期日前向计划财务处提供持卡人姓名、交易日期和每笔交易金额的详细信息，办理相关借款手续，经学院领导及计划财务处审核批准，先将资金存入公务卡，持卡人返回单位后按规定时间补办报销手续。</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五）为避免因特殊原因，公务卡还款不及时，给持卡人产生透支利息、滞纳金以及个人不良信用记录等，建议持卡人将本人在上海市内工商银行开户的银行借记卡或活期存折作为公务卡指定自动转账还款账户，实在不能及时报销还款时，授权发卡行在到期还款日当天，从个人银行借记卡或活期存折中自动扣划公务卡的应还金额（到期还款日当天，借记卡或活期存折应有足够余额），事后再按正常报销程序办理报销手续。</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（六）计划财务处工作人员登录公务卡支持系统，根据持卡人提供的姓名、交易日期和消费金额等信息，查询核对公务消费的真实性，审核确认后批准报销。</w:t>
      </w:r>
      <w:r>
        <w:rPr>
          <w:rFonts w:ascii="仿宋" w:hAnsi="仿宋" w:eastAsia="仿宋" w:cs="黑体"/>
          <w:sz w:val="32"/>
          <w:szCs w:val="32"/>
        </w:rPr>
        <w:t xml:space="preserve"> </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第十三条</w:t>
      </w:r>
      <w:r>
        <w:rPr>
          <w:rFonts w:ascii="仿宋" w:hAnsi="仿宋" w:eastAsia="仿宋" w:cs="黑体"/>
          <w:sz w:val="32"/>
          <w:szCs w:val="32"/>
        </w:rPr>
        <w:t xml:space="preserve">  </w:t>
      </w:r>
      <w:r>
        <w:rPr>
          <w:rFonts w:hint="eastAsia" w:ascii="仿宋" w:hAnsi="仿宋" w:eastAsia="仿宋" w:cs="黑体"/>
          <w:sz w:val="32"/>
          <w:szCs w:val="32"/>
        </w:rPr>
        <w:t>公务卡财务报销的时限</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持卡人使用公务卡消费结算的各项公务支出，须在发生公务支出的次月15日前将报销发票等凭证投递到学院“网上预约报销自助投递系统”的柜子里。因个人报销不及时造成的罚息、滞纳金等相关费用，以及由此带来对个人资信的影响，由持卡人承担。</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第十四条</w:t>
      </w:r>
      <w:r>
        <w:rPr>
          <w:rFonts w:ascii="仿宋" w:hAnsi="仿宋" w:eastAsia="仿宋" w:cs="黑体"/>
          <w:sz w:val="32"/>
          <w:szCs w:val="32"/>
        </w:rPr>
        <w:t xml:space="preserve">  </w:t>
      </w:r>
      <w:r>
        <w:rPr>
          <w:rFonts w:hint="eastAsia" w:ascii="仿宋" w:hAnsi="仿宋" w:eastAsia="仿宋" w:cs="黑体"/>
          <w:sz w:val="32"/>
          <w:szCs w:val="32"/>
        </w:rPr>
        <w:t>有下列情形之一的，所产生费用由持卡人个人承担，不予报销，单位不承担私人消费行为引起的一切法律责任：</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（一）使用公务卡用于个人消费的部分。</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（二）报销费用与提供的发票等财务报销凭证、公务卡消费凭证（</w:t>
      </w:r>
      <w:r>
        <w:rPr>
          <w:rFonts w:ascii="仿宋" w:hAnsi="仿宋" w:eastAsia="仿宋" w:cs="黑体"/>
          <w:sz w:val="32"/>
          <w:szCs w:val="32"/>
        </w:rPr>
        <w:t>POS</w:t>
      </w:r>
      <w:r>
        <w:rPr>
          <w:rFonts w:hint="eastAsia" w:ascii="仿宋" w:hAnsi="仿宋" w:eastAsia="仿宋" w:cs="黑体"/>
          <w:sz w:val="32"/>
          <w:szCs w:val="32"/>
        </w:rPr>
        <w:t>机小票）不符的。</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（三）因个人原因，持卡人未能在规定的报销时限内申请报销所造成的罚息和滞纳金等。</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（四）因持卡人个人保管不慎或遗失等原因，导致公务卡被盗刷所形成的支出和损失。</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（五）其他不符合财务管理规定和要求或超出标准的消费。</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第十五条</w:t>
      </w:r>
      <w:r>
        <w:rPr>
          <w:rFonts w:ascii="仿宋" w:hAnsi="仿宋" w:eastAsia="仿宋" w:cs="黑体"/>
          <w:sz w:val="32"/>
          <w:szCs w:val="32"/>
        </w:rPr>
        <w:t xml:space="preserve">  </w:t>
      </w:r>
      <w:r>
        <w:rPr>
          <w:rFonts w:hint="eastAsia" w:ascii="仿宋" w:hAnsi="仿宋" w:eastAsia="仿宋" w:cs="黑体"/>
          <w:sz w:val="32"/>
          <w:szCs w:val="32"/>
        </w:rPr>
        <w:t>使用公务卡后，凡发生公务卡支付范围内的公务支出时，原则上不予报销现金。如遇特殊情况，经计划财务处分管院领导审核同意后，方能报销。</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第十六条  严禁违规使用公务卡、恶意透支、拖欠还款或将非公务卡支出用于公务报销等现象，违反规定的，追究直接责任人的责任，情节严重，涉嫌犯罪的，移交司法机关，追究刑事责任。</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五、附则</w:t>
      </w:r>
    </w:p>
    <w:p>
      <w:pPr>
        <w:spacing w:line="560" w:lineRule="exact"/>
        <w:ind w:firstLine="640" w:firstLineChars="200"/>
        <w:rPr>
          <w:rFonts w:ascii="仿宋" w:hAnsi="仿宋" w:eastAsia="仿宋" w:cs="黑体"/>
          <w:sz w:val="32"/>
          <w:szCs w:val="32"/>
        </w:rPr>
      </w:pPr>
      <w:r>
        <w:rPr>
          <w:rFonts w:hint="eastAsia" w:ascii="仿宋" w:hAnsi="仿宋" w:eastAsia="仿宋" w:cs="黑体"/>
          <w:sz w:val="32"/>
          <w:szCs w:val="32"/>
        </w:rPr>
        <w:t>第十七条</w:t>
      </w:r>
      <w:r>
        <w:rPr>
          <w:rFonts w:ascii="仿宋" w:hAnsi="仿宋" w:eastAsia="仿宋" w:cs="黑体"/>
          <w:sz w:val="32"/>
          <w:szCs w:val="32"/>
        </w:rPr>
        <w:t xml:space="preserve">  </w:t>
      </w:r>
      <w:r>
        <w:rPr>
          <w:rFonts w:hint="eastAsia" w:ascii="仿宋" w:hAnsi="仿宋" w:eastAsia="仿宋" w:cs="黑体"/>
          <w:sz w:val="32"/>
          <w:szCs w:val="32"/>
        </w:rPr>
        <w:t>本办法由学院计划财务处负责解释。</w:t>
      </w:r>
    </w:p>
    <w:p>
      <w:pPr>
        <w:spacing w:line="560" w:lineRule="exact"/>
        <w:ind w:firstLine="640" w:firstLineChars="200"/>
        <w:rPr>
          <w:rFonts w:hint="eastAsia" w:ascii="仿宋" w:hAnsi="仿宋" w:eastAsia="仿宋" w:cs="黑体"/>
          <w:sz w:val="32"/>
          <w:szCs w:val="32"/>
        </w:rPr>
      </w:pPr>
      <w:r>
        <w:rPr>
          <w:rFonts w:hint="eastAsia" w:ascii="仿宋" w:hAnsi="仿宋" w:eastAsia="仿宋" w:cs="黑体"/>
          <w:sz w:val="32"/>
          <w:szCs w:val="32"/>
        </w:rPr>
        <w:t>第十八条</w:t>
      </w:r>
      <w:r>
        <w:rPr>
          <w:rFonts w:ascii="仿宋" w:hAnsi="仿宋" w:eastAsia="仿宋" w:cs="黑体"/>
          <w:sz w:val="32"/>
          <w:szCs w:val="32"/>
        </w:rPr>
        <w:t xml:space="preserve">  </w:t>
      </w:r>
      <w:r>
        <w:rPr>
          <w:rFonts w:hint="eastAsia" w:ascii="仿宋" w:hAnsi="仿宋" w:eastAsia="仿宋" w:cs="黑体"/>
          <w:sz w:val="32"/>
          <w:szCs w:val="32"/>
        </w:rPr>
        <w:t>本办法自公布之日起实施。</w:t>
      </w:r>
    </w:p>
    <w:p>
      <w:pPr>
        <w:spacing w:line="560" w:lineRule="exact"/>
        <w:ind w:firstLine="640" w:firstLineChars="200"/>
        <w:rPr>
          <w:rFonts w:hint="eastAsia" w:ascii="仿宋" w:hAnsi="仿宋" w:eastAsia="仿宋" w:cs="黑体"/>
          <w:sz w:val="32"/>
          <w:szCs w:val="32"/>
        </w:rPr>
      </w:pPr>
    </w:p>
    <w:p>
      <w:pPr>
        <w:spacing w:line="520" w:lineRule="exact"/>
        <w:ind w:firstLine="646"/>
        <w:rPr>
          <w:rFonts w:hint="eastAsia" w:ascii="仿宋" w:hAnsi="仿宋" w:eastAsia="仿宋"/>
          <w:sz w:val="32"/>
          <w:szCs w:val="32"/>
        </w:rPr>
      </w:pPr>
    </w:p>
    <w:p>
      <w:pPr>
        <w:spacing w:line="520" w:lineRule="exact"/>
        <w:ind w:firstLine="645"/>
        <w:jc w:val="center"/>
        <w:rPr>
          <w:rFonts w:ascii="仿宋" w:hAnsi="仿宋" w:eastAsia="仿宋"/>
          <w:color w:val="000000"/>
          <w:sz w:val="32"/>
          <w:szCs w:val="32"/>
        </w:rPr>
      </w:pPr>
      <w:r>
        <w:rPr>
          <w:rFonts w:hint="eastAsia" w:ascii="仿宋" w:hAnsi="仿宋" w:eastAsia="仿宋"/>
          <w:color w:val="000000"/>
          <w:sz w:val="32"/>
          <w:szCs w:val="32"/>
        </w:rPr>
        <w:t xml:space="preserve">                      </w:t>
      </w:r>
    </w:p>
    <w:p>
      <w:pPr>
        <w:spacing w:line="520" w:lineRule="exact"/>
        <w:ind w:firstLine="645"/>
        <w:jc w:val="center"/>
        <w:rPr>
          <w:rFonts w:ascii="仿宋" w:hAnsi="仿宋" w:eastAsia="仿宋"/>
          <w:color w:val="000000"/>
          <w:sz w:val="32"/>
          <w:szCs w:val="32"/>
        </w:rPr>
      </w:pPr>
    </w:p>
    <w:p>
      <w:pPr>
        <w:spacing w:line="520" w:lineRule="exact"/>
        <w:ind w:firstLine="645"/>
        <w:jc w:val="center"/>
        <w:rPr>
          <w:rFonts w:ascii="仿宋" w:hAnsi="仿宋" w:eastAsia="仿宋"/>
          <w:color w:val="000000"/>
          <w:sz w:val="32"/>
          <w:szCs w:val="32"/>
        </w:rPr>
      </w:pPr>
      <w:r>
        <w:rPr>
          <w:rFonts w:ascii="仿宋" w:hAnsi="仿宋" w:eastAsia="仿宋"/>
          <w:color w:val="000000"/>
          <w:sz w:val="32"/>
          <w:szCs w:val="32"/>
        </w:rPr>
        <w:t xml:space="preserve">                      </w:t>
      </w:r>
      <w:r>
        <w:rPr>
          <w:rFonts w:hint="eastAsia" w:ascii="仿宋" w:hAnsi="仿宋" w:eastAsia="仿宋"/>
          <w:color w:val="000000"/>
          <w:sz w:val="32"/>
          <w:szCs w:val="32"/>
        </w:rPr>
        <w:t>上海民航职业技术学院</w:t>
      </w:r>
    </w:p>
    <w:p>
      <w:pPr>
        <w:spacing w:line="520" w:lineRule="exact"/>
        <w:ind w:firstLine="645"/>
        <w:jc w:val="center"/>
        <w:rPr>
          <w:rFonts w:hint="eastAsia" w:ascii="仿宋" w:hAnsi="仿宋" w:eastAsia="仿宋"/>
          <w:color w:val="000000"/>
          <w:sz w:val="32"/>
          <w:szCs w:val="32"/>
        </w:rPr>
      </w:pPr>
      <w:r>
        <w:rPr>
          <w:rFonts w:hint="eastAsia" w:ascii="仿宋" w:hAnsi="仿宋" w:eastAsia="仿宋"/>
          <w:color w:val="000000"/>
          <w:sz w:val="32"/>
          <w:szCs w:val="32"/>
        </w:rPr>
        <w:t xml:space="preserve">                        </w:t>
      </w:r>
      <w:bookmarkStart w:id="1" w:name="签发日期"/>
      <w:r>
        <w:rPr>
          <w:rFonts w:ascii="仿宋" w:hAnsi="仿宋" w:eastAsia="仿宋"/>
          <w:color w:val="000000"/>
          <w:sz w:val="32"/>
          <w:szCs w:val="32"/>
        </w:rPr>
        <w:t>2019年7月3日</w:t>
      </w:r>
      <w:bookmarkEnd w:id="1"/>
    </w:p>
    <w:p>
      <w:pPr>
        <w:ind w:firstLine="3840" w:firstLineChars="1200"/>
        <w:rPr>
          <w:rFonts w:ascii="仿宋_GB2312" w:hAnsi="仿宋"/>
          <w:sz w:val="32"/>
          <w:szCs w:val="32"/>
        </w:rPr>
      </w:pPr>
    </w:p>
    <w:p>
      <w:pPr>
        <w:ind w:firstLine="2520" w:firstLineChars="1200"/>
        <w:rPr>
          <w:rFonts w:ascii="仿宋_GB2312" w:hAnsi="仿宋"/>
        </w:rPr>
      </w:pPr>
    </w:p>
    <w:p>
      <w:pPr>
        <w:rPr>
          <w:rFonts w:hint="eastAsia" w:ascii="仿宋_GB2312" w:hAnsi="仿宋"/>
        </w:rPr>
      </w:pPr>
      <w:r>
        <w:rPr>
          <w:rFonts w:hint="eastAsia" w:ascii="仿宋_GB2312" w:hAnsi="仿宋"/>
        </w:rPr>
        <w:t xml:space="preserve">                                  </w:t>
      </w:r>
    </w:p>
    <w:tbl>
      <w:tblPr>
        <w:tblStyle w:val="8"/>
        <w:tblpPr w:horzAnchor="margin" w:tblpXSpec="center" w:tblpYSpec="bottom"/>
        <w:tblOverlap w:val="never"/>
        <w:tblW w:w="8983" w:type="dxa"/>
        <w:tblInd w:w="0" w:type="dxa"/>
        <w:tblBorders>
          <w:top w:val="none" w:color="auto" w:sz="0" w:space="0"/>
          <w:left w:val="none" w:color="auto" w:sz="0" w:space="0"/>
          <w:bottom w:val="single" w:color="000000" w:sz="8" w:space="0"/>
          <w:right w:val="none" w:color="auto" w:sz="0" w:space="0"/>
          <w:insideH w:val="single" w:color="000000" w:sz="8" w:space="0"/>
          <w:insideV w:val="none" w:color="auto" w:sz="0" w:space="0"/>
        </w:tblBorders>
        <w:tblLayout w:type="fixed"/>
        <w:tblCellMar>
          <w:top w:w="0" w:type="dxa"/>
          <w:left w:w="108" w:type="dxa"/>
          <w:bottom w:w="0" w:type="dxa"/>
          <w:right w:w="108" w:type="dxa"/>
        </w:tblCellMar>
      </w:tblPr>
      <w:tblGrid>
        <w:gridCol w:w="5247"/>
        <w:gridCol w:w="3736"/>
      </w:tblGrid>
      <w:tr>
        <w:tblPrEx>
          <w:tblBorders>
            <w:top w:val="none" w:color="auto" w:sz="0" w:space="0"/>
            <w:left w:val="none" w:color="auto" w:sz="0" w:space="0"/>
            <w:bottom w:val="single" w:color="000000" w:sz="8" w:space="0"/>
            <w:right w:val="none" w:color="auto" w:sz="0" w:space="0"/>
            <w:insideH w:val="single" w:color="000000" w:sz="8" w:space="0"/>
            <w:insideV w:val="none" w:color="auto" w:sz="0" w:space="0"/>
          </w:tblBorders>
          <w:tblLayout w:type="fixed"/>
          <w:tblCellMar>
            <w:top w:w="0" w:type="dxa"/>
            <w:left w:w="108" w:type="dxa"/>
            <w:bottom w:w="0" w:type="dxa"/>
            <w:right w:w="108" w:type="dxa"/>
          </w:tblCellMar>
        </w:tblPrEx>
        <w:trPr>
          <w:trHeight w:val="359" w:hRule="atLeast"/>
        </w:trPr>
        <w:tc>
          <w:tcPr>
            <w:tcW w:w="5247" w:type="dxa"/>
            <w:tcBorders>
              <w:top w:val="single" w:color="auto" w:sz="4" w:space="0"/>
              <w:bottom w:val="single" w:color="000000" w:sz="8" w:space="0"/>
            </w:tcBorders>
            <w:noWrap w:val="0"/>
            <w:tcMar>
              <w:left w:w="0" w:type="dxa"/>
              <w:right w:w="0" w:type="dxa"/>
            </w:tcMar>
            <w:vAlign w:val="center"/>
          </w:tcPr>
          <w:p>
            <w:pPr>
              <w:pStyle w:val="7"/>
              <w:spacing w:before="0" w:beforeAutospacing="0" w:after="0" w:afterAutospacing="0" w:line="480" w:lineRule="atLeast"/>
              <w:ind w:left="174" w:leftChars="83"/>
              <w:jc w:val="both"/>
              <w:textAlignment w:val="center"/>
              <w:rPr>
                <w:rFonts w:ascii="仿宋" w:hAnsi="仿宋" w:eastAsia="仿宋"/>
                <w:sz w:val="28"/>
                <w:szCs w:val="28"/>
              </w:rPr>
            </w:pPr>
            <w:r>
              <w:rPr>
                <w:rFonts w:hint="eastAsia" w:ascii="仿宋" w:hAnsi="仿宋" w:eastAsia="仿宋"/>
                <w:color w:val="000000"/>
                <w:sz w:val="28"/>
                <w:szCs w:val="28"/>
              </w:rPr>
              <w:t>上海民航职业技术学院办公室</w:t>
            </w:r>
          </w:p>
        </w:tc>
        <w:tc>
          <w:tcPr>
            <w:tcW w:w="3736" w:type="dxa"/>
            <w:tcBorders>
              <w:top w:val="single" w:color="auto" w:sz="4" w:space="0"/>
              <w:bottom w:val="single" w:color="000000" w:sz="8" w:space="0"/>
            </w:tcBorders>
            <w:noWrap w:val="0"/>
            <w:tcMar>
              <w:left w:w="0" w:type="dxa"/>
              <w:right w:w="0" w:type="dxa"/>
            </w:tcMar>
            <w:vAlign w:val="center"/>
          </w:tcPr>
          <w:p>
            <w:pPr>
              <w:pStyle w:val="7"/>
              <w:spacing w:before="0" w:beforeAutospacing="0" w:after="0" w:afterAutospacing="0" w:line="480" w:lineRule="atLeast"/>
              <w:ind w:right="210" w:rightChars="100"/>
              <w:jc w:val="right"/>
              <w:textAlignment w:val="center"/>
              <w:rPr>
                <w:rFonts w:ascii="仿宋" w:hAnsi="仿宋" w:eastAsia="仿宋"/>
                <w:sz w:val="28"/>
                <w:szCs w:val="28"/>
              </w:rPr>
            </w:pPr>
            <w:bookmarkStart w:id="2" w:name="印发日期"/>
            <w:r>
              <w:rPr>
                <w:rFonts w:ascii="仿宋" w:hAnsi="仿宋" w:eastAsia="仿宋"/>
                <w:sz w:val="28"/>
                <w:szCs w:val="28"/>
              </w:rPr>
              <w:t>2019年7月3日</w:t>
            </w:r>
            <w:bookmarkEnd w:id="2"/>
            <w:r>
              <w:rPr>
                <w:rFonts w:hint="eastAsia" w:ascii="仿宋" w:hAnsi="仿宋" w:eastAsia="仿宋"/>
                <w:sz w:val="28"/>
                <w:szCs w:val="28"/>
              </w:rPr>
              <w:t>印发</w:t>
            </w:r>
          </w:p>
        </w:tc>
      </w:tr>
      <w:tr>
        <w:tblPrEx>
          <w:tblBorders>
            <w:top w:val="none" w:color="auto" w:sz="0" w:space="0"/>
            <w:left w:val="none" w:color="auto" w:sz="0" w:space="0"/>
            <w:bottom w:val="single" w:color="000000" w:sz="8" w:space="0"/>
            <w:right w:val="none" w:color="auto" w:sz="0" w:space="0"/>
            <w:insideH w:val="single" w:color="000000" w:sz="8" w:space="0"/>
            <w:insideV w:val="none" w:color="auto" w:sz="0" w:space="0"/>
          </w:tblBorders>
          <w:tblLayout w:type="fixed"/>
          <w:tblCellMar>
            <w:top w:w="0" w:type="dxa"/>
            <w:left w:w="108" w:type="dxa"/>
            <w:bottom w:w="0" w:type="dxa"/>
            <w:right w:w="108" w:type="dxa"/>
          </w:tblCellMar>
        </w:tblPrEx>
        <w:trPr>
          <w:trHeight w:val="227" w:hRule="exact"/>
        </w:trPr>
        <w:tc>
          <w:tcPr>
            <w:tcW w:w="5247" w:type="dxa"/>
            <w:tcBorders>
              <w:top w:val="single" w:color="000000" w:sz="8" w:space="0"/>
              <w:bottom w:val="nil"/>
            </w:tcBorders>
            <w:noWrap w:val="0"/>
            <w:vAlign w:val="top"/>
          </w:tcPr>
          <w:p>
            <w:pPr>
              <w:pStyle w:val="7"/>
              <w:spacing w:before="0" w:beforeAutospacing="0" w:after="0" w:afterAutospacing="0" w:line="480" w:lineRule="atLeast"/>
              <w:ind w:left="1497" w:hanging="1497"/>
              <w:textAlignment w:val="center"/>
              <w:rPr>
                <w:rFonts w:ascii="仿宋_GB2312"/>
                <w:sz w:val="32"/>
              </w:rPr>
            </w:pPr>
          </w:p>
        </w:tc>
        <w:tc>
          <w:tcPr>
            <w:tcW w:w="3736" w:type="dxa"/>
            <w:tcBorders>
              <w:top w:val="single" w:color="000000" w:sz="8" w:space="0"/>
              <w:bottom w:val="nil"/>
            </w:tcBorders>
            <w:noWrap w:val="0"/>
            <w:vAlign w:val="top"/>
          </w:tcPr>
          <w:p>
            <w:pPr>
              <w:pStyle w:val="7"/>
              <w:spacing w:before="0" w:beforeAutospacing="0" w:after="0" w:afterAutospacing="0" w:line="480" w:lineRule="atLeast"/>
              <w:ind w:left="1497" w:hanging="1497"/>
              <w:jc w:val="right"/>
              <w:textAlignment w:val="center"/>
              <w:rPr>
                <w:rFonts w:ascii="仿宋_GB2312"/>
                <w:sz w:val="32"/>
              </w:rPr>
            </w:pPr>
          </w:p>
        </w:tc>
      </w:tr>
    </w:tbl>
    <w:p>
      <w:pPr>
        <w:ind w:right="-17" w:rightChars="-8"/>
        <w:rPr>
          <w:rFonts w:hint="eastAsia"/>
        </w:rPr>
      </w:pPr>
    </w:p>
    <w:p>
      <w:pPr>
        <w:spacing w:line="240" w:lineRule="atLeast"/>
        <w:jc w:val="center"/>
        <w:rPr>
          <w:rFonts w:hint="eastAsia" w:ascii="仿宋" w:hAnsi="仿宋" w:eastAsia="仿宋"/>
          <w:color w:val="000000"/>
          <w:sz w:val="32"/>
          <w:szCs w:val="32"/>
        </w:rPr>
      </w:pPr>
    </w:p>
    <w:p>
      <w:pPr>
        <w:spacing w:line="240" w:lineRule="atLeast"/>
        <w:jc w:val="center"/>
        <w:rPr>
          <w:rFonts w:hint="eastAsia" w:ascii="仿宋" w:hAnsi="仿宋" w:eastAsia="仿宋"/>
          <w:color w:val="000000"/>
          <w:sz w:val="32"/>
          <w:szCs w:val="32"/>
        </w:rPr>
      </w:pPr>
    </w:p>
    <w:p>
      <w:pPr>
        <w:spacing w:line="240" w:lineRule="atLeast"/>
        <w:jc w:val="center"/>
        <w:rPr>
          <w:rFonts w:hint="eastAsia" w:ascii="仿宋" w:hAnsi="仿宋" w:eastAsia="仿宋"/>
          <w:color w:val="000000"/>
          <w:sz w:val="32"/>
          <w:szCs w:val="32"/>
        </w:rPr>
      </w:pPr>
    </w:p>
    <w:p>
      <w:pPr>
        <w:spacing w:line="540" w:lineRule="exact"/>
        <w:ind w:firstLine="640" w:firstLineChars="200"/>
        <w:rPr>
          <w:rFonts w:ascii="仿宋" w:hAnsi="仿宋" w:eastAsia="仿宋" w:cs="仿宋"/>
          <w:sz w:val="32"/>
          <w:szCs w:val="32"/>
        </w:rPr>
      </w:pPr>
      <w:bookmarkStart w:id="3" w:name="_GoBack"/>
      <w:bookmarkEnd w:id="3"/>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大标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fGEK7rgEAAEsD&#10;AAAOAAAAAAAAAAEAIAAAAB4BAABkcnMvZTJvRG9jLnhtbFBLBQYAAAAABgAGAFkBAAA+BQAAAAA=&#10;">
              <v:fill on="f" focussize="0,0"/>
              <v:stroke on="f"/>
              <v:imagedata o:title=""/>
              <o:lock v:ext="edit" aspectratio="f"/>
              <v:textbox inset="0mm,0mm,0mm,0mm" style="mso-fit-shape-to-text:t;">
                <w:txbxContent>
                  <w:p>
                    <w:pPr>
                      <w:snapToGrid w:val="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- 6 -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25E8"/>
    <w:rsid w:val="00003ECF"/>
    <w:rsid w:val="00021691"/>
    <w:rsid w:val="00055A5E"/>
    <w:rsid w:val="0005658F"/>
    <w:rsid w:val="00064B7A"/>
    <w:rsid w:val="00065E05"/>
    <w:rsid w:val="000672B4"/>
    <w:rsid w:val="00073426"/>
    <w:rsid w:val="0007379D"/>
    <w:rsid w:val="000768E3"/>
    <w:rsid w:val="000A08F0"/>
    <w:rsid w:val="000A4576"/>
    <w:rsid w:val="000E3F13"/>
    <w:rsid w:val="000F0383"/>
    <w:rsid w:val="000F36C5"/>
    <w:rsid w:val="00130866"/>
    <w:rsid w:val="00134084"/>
    <w:rsid w:val="00162E94"/>
    <w:rsid w:val="001703A0"/>
    <w:rsid w:val="00173D08"/>
    <w:rsid w:val="00174079"/>
    <w:rsid w:val="001823C2"/>
    <w:rsid w:val="001B16E9"/>
    <w:rsid w:val="001C06A6"/>
    <w:rsid w:val="002028CF"/>
    <w:rsid w:val="00207611"/>
    <w:rsid w:val="00211D42"/>
    <w:rsid w:val="002327CB"/>
    <w:rsid w:val="00265AB1"/>
    <w:rsid w:val="00285A5A"/>
    <w:rsid w:val="00297E33"/>
    <w:rsid w:val="002D3B12"/>
    <w:rsid w:val="002D529E"/>
    <w:rsid w:val="002E049E"/>
    <w:rsid w:val="002F0969"/>
    <w:rsid w:val="002F5D89"/>
    <w:rsid w:val="00304B79"/>
    <w:rsid w:val="00314B22"/>
    <w:rsid w:val="00325379"/>
    <w:rsid w:val="00330C0E"/>
    <w:rsid w:val="003405EB"/>
    <w:rsid w:val="00344B90"/>
    <w:rsid w:val="00344D2E"/>
    <w:rsid w:val="00395D39"/>
    <w:rsid w:val="00396D36"/>
    <w:rsid w:val="003C0A55"/>
    <w:rsid w:val="003D27BB"/>
    <w:rsid w:val="003E18DE"/>
    <w:rsid w:val="00406861"/>
    <w:rsid w:val="0040770B"/>
    <w:rsid w:val="0041026B"/>
    <w:rsid w:val="00413440"/>
    <w:rsid w:val="00413932"/>
    <w:rsid w:val="00414B41"/>
    <w:rsid w:val="00421209"/>
    <w:rsid w:val="00456F04"/>
    <w:rsid w:val="004660B8"/>
    <w:rsid w:val="00484DD5"/>
    <w:rsid w:val="004908FB"/>
    <w:rsid w:val="004958C2"/>
    <w:rsid w:val="004D3707"/>
    <w:rsid w:val="004D4E71"/>
    <w:rsid w:val="004E5BAC"/>
    <w:rsid w:val="00500566"/>
    <w:rsid w:val="0050657C"/>
    <w:rsid w:val="00532DAA"/>
    <w:rsid w:val="00543593"/>
    <w:rsid w:val="00582EB2"/>
    <w:rsid w:val="005C2A02"/>
    <w:rsid w:val="005C77CE"/>
    <w:rsid w:val="005D02DF"/>
    <w:rsid w:val="005E2EAF"/>
    <w:rsid w:val="005E4002"/>
    <w:rsid w:val="005E78F1"/>
    <w:rsid w:val="005F04BC"/>
    <w:rsid w:val="005F43CB"/>
    <w:rsid w:val="005F4605"/>
    <w:rsid w:val="006459AF"/>
    <w:rsid w:val="006539CB"/>
    <w:rsid w:val="006667AC"/>
    <w:rsid w:val="00681080"/>
    <w:rsid w:val="00681585"/>
    <w:rsid w:val="00682DF6"/>
    <w:rsid w:val="006847C0"/>
    <w:rsid w:val="006C3785"/>
    <w:rsid w:val="006C52F7"/>
    <w:rsid w:val="006D03C9"/>
    <w:rsid w:val="006D109E"/>
    <w:rsid w:val="006D7A41"/>
    <w:rsid w:val="006E09A2"/>
    <w:rsid w:val="006E7A3E"/>
    <w:rsid w:val="006F2D91"/>
    <w:rsid w:val="007041B8"/>
    <w:rsid w:val="007071EB"/>
    <w:rsid w:val="00733B22"/>
    <w:rsid w:val="00734DD8"/>
    <w:rsid w:val="007438B9"/>
    <w:rsid w:val="007710FD"/>
    <w:rsid w:val="0078144E"/>
    <w:rsid w:val="00783125"/>
    <w:rsid w:val="007C2A74"/>
    <w:rsid w:val="007E623D"/>
    <w:rsid w:val="007F1C08"/>
    <w:rsid w:val="007F211B"/>
    <w:rsid w:val="007F5213"/>
    <w:rsid w:val="00833B0A"/>
    <w:rsid w:val="00877BA9"/>
    <w:rsid w:val="008A351A"/>
    <w:rsid w:val="008B2A07"/>
    <w:rsid w:val="008B3EA1"/>
    <w:rsid w:val="008D0BEA"/>
    <w:rsid w:val="008D3407"/>
    <w:rsid w:val="008E5292"/>
    <w:rsid w:val="008E5590"/>
    <w:rsid w:val="008F328B"/>
    <w:rsid w:val="008F33F6"/>
    <w:rsid w:val="008F3EBC"/>
    <w:rsid w:val="00901A55"/>
    <w:rsid w:val="00902341"/>
    <w:rsid w:val="009040B5"/>
    <w:rsid w:val="009253E2"/>
    <w:rsid w:val="00933D6B"/>
    <w:rsid w:val="00935C2B"/>
    <w:rsid w:val="00961FB7"/>
    <w:rsid w:val="009732A5"/>
    <w:rsid w:val="0097592F"/>
    <w:rsid w:val="009A11A9"/>
    <w:rsid w:val="009A19F2"/>
    <w:rsid w:val="009A606B"/>
    <w:rsid w:val="009C3E2E"/>
    <w:rsid w:val="009C5E71"/>
    <w:rsid w:val="009E2855"/>
    <w:rsid w:val="009E74B4"/>
    <w:rsid w:val="009E7B90"/>
    <w:rsid w:val="00A0017B"/>
    <w:rsid w:val="00A377C2"/>
    <w:rsid w:val="00A42840"/>
    <w:rsid w:val="00A42EA6"/>
    <w:rsid w:val="00A6532E"/>
    <w:rsid w:val="00A67800"/>
    <w:rsid w:val="00A8567A"/>
    <w:rsid w:val="00AB3BA0"/>
    <w:rsid w:val="00AB4E21"/>
    <w:rsid w:val="00AB635C"/>
    <w:rsid w:val="00AC3A13"/>
    <w:rsid w:val="00AD6170"/>
    <w:rsid w:val="00AE7FF1"/>
    <w:rsid w:val="00B2086B"/>
    <w:rsid w:val="00B27138"/>
    <w:rsid w:val="00B2789E"/>
    <w:rsid w:val="00B52CFC"/>
    <w:rsid w:val="00B62FD5"/>
    <w:rsid w:val="00B72CC0"/>
    <w:rsid w:val="00BB73DE"/>
    <w:rsid w:val="00BC2C07"/>
    <w:rsid w:val="00BE3DA1"/>
    <w:rsid w:val="00C375D1"/>
    <w:rsid w:val="00C4516B"/>
    <w:rsid w:val="00C45933"/>
    <w:rsid w:val="00C525E8"/>
    <w:rsid w:val="00C6148B"/>
    <w:rsid w:val="00C63A50"/>
    <w:rsid w:val="00C648F1"/>
    <w:rsid w:val="00C65E6B"/>
    <w:rsid w:val="00C72324"/>
    <w:rsid w:val="00C72F96"/>
    <w:rsid w:val="00C77B72"/>
    <w:rsid w:val="00C9534D"/>
    <w:rsid w:val="00CB7009"/>
    <w:rsid w:val="00CB7F7B"/>
    <w:rsid w:val="00CC2D02"/>
    <w:rsid w:val="00CD51D8"/>
    <w:rsid w:val="00CD5ECC"/>
    <w:rsid w:val="00CE6032"/>
    <w:rsid w:val="00CF157B"/>
    <w:rsid w:val="00CF3171"/>
    <w:rsid w:val="00D03109"/>
    <w:rsid w:val="00D07747"/>
    <w:rsid w:val="00D11145"/>
    <w:rsid w:val="00D257F3"/>
    <w:rsid w:val="00D264E6"/>
    <w:rsid w:val="00D343E6"/>
    <w:rsid w:val="00D74DE0"/>
    <w:rsid w:val="00DA4ED7"/>
    <w:rsid w:val="00DB259B"/>
    <w:rsid w:val="00DB4556"/>
    <w:rsid w:val="00DB74AD"/>
    <w:rsid w:val="00DC7075"/>
    <w:rsid w:val="00DD1D0C"/>
    <w:rsid w:val="00E0653B"/>
    <w:rsid w:val="00E246D7"/>
    <w:rsid w:val="00E25E2B"/>
    <w:rsid w:val="00E438AF"/>
    <w:rsid w:val="00E64C83"/>
    <w:rsid w:val="00E72DA7"/>
    <w:rsid w:val="00E733E1"/>
    <w:rsid w:val="00E855D7"/>
    <w:rsid w:val="00E85F28"/>
    <w:rsid w:val="00E931F9"/>
    <w:rsid w:val="00E968F2"/>
    <w:rsid w:val="00EB048E"/>
    <w:rsid w:val="00EC0A35"/>
    <w:rsid w:val="00EC260E"/>
    <w:rsid w:val="00EC434A"/>
    <w:rsid w:val="00EC6CB9"/>
    <w:rsid w:val="00ED1478"/>
    <w:rsid w:val="00ED480D"/>
    <w:rsid w:val="00F00EE0"/>
    <w:rsid w:val="00F07728"/>
    <w:rsid w:val="00F12FB3"/>
    <w:rsid w:val="00F23088"/>
    <w:rsid w:val="00F23235"/>
    <w:rsid w:val="00F25D14"/>
    <w:rsid w:val="00F278EE"/>
    <w:rsid w:val="00F36A4C"/>
    <w:rsid w:val="00F52778"/>
    <w:rsid w:val="00F54A23"/>
    <w:rsid w:val="00F55D69"/>
    <w:rsid w:val="00F57720"/>
    <w:rsid w:val="00F61701"/>
    <w:rsid w:val="00F67AED"/>
    <w:rsid w:val="00F70A8E"/>
    <w:rsid w:val="00F814B3"/>
    <w:rsid w:val="00FA4E98"/>
    <w:rsid w:val="00FB22A1"/>
    <w:rsid w:val="00FC2628"/>
    <w:rsid w:val="23E9223D"/>
    <w:rsid w:val="241A26B4"/>
    <w:rsid w:val="43E64E2B"/>
    <w:rsid w:val="496E12DC"/>
    <w:rsid w:val="4D8869CF"/>
    <w:rsid w:val="65472B5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7"/>
    <w:qFormat/>
    <w:locked/>
    <w:uiPriority w:val="0"/>
    <w:pPr>
      <w:widowControl/>
      <w:spacing w:before="100" w:beforeAutospacing="1" w:after="100" w:afterAutospacing="1"/>
      <w:jc w:val="left"/>
      <w:outlineLvl w:val="0"/>
    </w:pPr>
    <w:rPr>
      <w:rFonts w:ascii="宋体" w:hAnsi="宋体" w:cs="宋体"/>
      <w:kern w:val="36"/>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ind w:firstLine="524" w:firstLineChars="187"/>
    </w:pPr>
    <w:rPr>
      <w:rFonts w:ascii="Times New Roman" w:hAnsi="Times New Roman" w:cs="Times New Roman"/>
      <w:sz w:val="28"/>
      <w:szCs w:val="24"/>
    </w:rPr>
  </w:style>
  <w:style w:type="paragraph" w:styleId="4">
    <w:name w:val="Balloon Text"/>
    <w:basedOn w:val="1"/>
    <w:link w:val="15"/>
    <w:semiHidden/>
    <w:qFormat/>
    <w:uiPriority w:val="99"/>
    <w:rPr>
      <w:sz w:val="18"/>
      <w:szCs w:val="18"/>
    </w:rPr>
  </w:style>
  <w:style w:type="paragraph" w:styleId="5">
    <w:name w:val="footer"/>
    <w:basedOn w:val="1"/>
    <w:link w:val="14"/>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szCs w:val="24"/>
    </w:rPr>
  </w:style>
  <w:style w:type="character" w:styleId="10">
    <w:name w:val="Strong"/>
    <w:basedOn w:val="9"/>
    <w:qFormat/>
    <w:locked/>
    <w:uiPriority w:val="0"/>
    <w:rPr>
      <w:b/>
      <w:bCs/>
    </w:rPr>
  </w:style>
  <w:style w:type="character" w:styleId="11">
    <w:name w:val="page number"/>
    <w:basedOn w:val="9"/>
    <w:qFormat/>
    <w:uiPriority w:val="0"/>
  </w:style>
  <w:style w:type="paragraph" w:customStyle="1" w:styleId="12">
    <w:name w:val="列出段落1"/>
    <w:basedOn w:val="1"/>
    <w:qFormat/>
    <w:uiPriority w:val="99"/>
    <w:pPr>
      <w:ind w:firstLine="420" w:firstLineChars="200"/>
    </w:pPr>
    <w:rPr>
      <w:rFonts w:ascii="Times New Roman" w:hAnsi="Times New Roman"/>
      <w:szCs w:val="24"/>
    </w:rPr>
  </w:style>
  <w:style w:type="character" w:customStyle="1" w:styleId="13">
    <w:name w:val="页眉 Char"/>
    <w:basedOn w:val="9"/>
    <w:link w:val="6"/>
    <w:qFormat/>
    <w:locked/>
    <w:uiPriority w:val="0"/>
    <w:rPr>
      <w:rFonts w:cs="Times New Roman"/>
      <w:sz w:val="18"/>
      <w:szCs w:val="18"/>
    </w:rPr>
  </w:style>
  <w:style w:type="character" w:customStyle="1" w:styleId="14">
    <w:name w:val="页脚 Char"/>
    <w:basedOn w:val="9"/>
    <w:link w:val="5"/>
    <w:qFormat/>
    <w:locked/>
    <w:uiPriority w:val="0"/>
    <w:rPr>
      <w:rFonts w:cs="Times New Roman"/>
      <w:sz w:val="18"/>
      <w:szCs w:val="18"/>
    </w:rPr>
  </w:style>
  <w:style w:type="character" w:customStyle="1" w:styleId="15">
    <w:name w:val="批注框文本 Char"/>
    <w:basedOn w:val="9"/>
    <w:link w:val="4"/>
    <w:semiHidden/>
    <w:qFormat/>
    <w:locked/>
    <w:uiPriority w:val="99"/>
    <w:rPr>
      <w:rFonts w:cs="Times New Roman"/>
      <w:sz w:val="18"/>
      <w:szCs w:val="18"/>
    </w:rPr>
  </w:style>
  <w:style w:type="paragraph" w:customStyle="1" w:styleId="16">
    <w:name w:val="Char"/>
    <w:basedOn w:val="1"/>
    <w:qFormat/>
    <w:uiPriority w:val="0"/>
    <w:rPr>
      <w:rFonts w:ascii="Times New Roman" w:hAnsi="Times New Roman"/>
      <w:szCs w:val="21"/>
    </w:rPr>
  </w:style>
  <w:style w:type="character" w:customStyle="1" w:styleId="17">
    <w:name w:val="标题 1 Char"/>
    <w:basedOn w:val="9"/>
    <w:link w:val="2"/>
    <w:qFormat/>
    <w:uiPriority w:val="0"/>
    <w:rPr>
      <w:rFonts w:ascii="宋体" w:hAnsi="宋体" w:cs="宋体"/>
      <w:kern w:val="36"/>
      <w:sz w:val="24"/>
      <w:szCs w:val="24"/>
    </w:rPr>
  </w:style>
  <w:style w:type="paragraph" w:styleId="18">
    <w:name w:val="List Paragraph"/>
    <w:basedOn w:val="1"/>
    <w:qFormat/>
    <w:uiPriority w:val="34"/>
    <w:pPr>
      <w:ind w:firstLine="420" w:firstLineChars="200"/>
    </w:pPr>
    <w:rPr>
      <w:rFonts w:asciiTheme="minorHAnsi" w:hAnsiTheme="minorHAnsi" w:eastAsiaTheme="minorEastAsia" w:cstheme="min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5D7EDA2-12B6-40BF-B4C1-55F7AF6E51C0}">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70</Pages>
  <Words>17231</Words>
  <Characters>17405</Characters>
  <Lines>828</Lines>
  <Paragraphs>587</Paragraphs>
  <TotalTime>1</TotalTime>
  <ScaleCrop>false</ScaleCrop>
  <LinksUpToDate>false</LinksUpToDate>
  <CharactersWithSpaces>34049</CharactersWithSpaces>
  <Application>WPS Office_11.1.0.8806_F1E327BC-269C-435d-A152-05C5408002CA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2016-06-17T04:51:00Z</dcterms:created>
  <dc:creator>user</dc:creator>
  <cp:lastModifiedBy>枫叶</cp:lastModifiedBy>
  <cp:lastPrinted>2018-06-15T00:48:00Z</cp:lastPrinted>
  <dcterms:modified xsi:type="dcterms:W3CDTF">2019-07-05T04:43:55Z</dcterms:modified>
  <cp:revision>112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